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24 ноября 2025 года</w:t>
      </w:r>
      <w:r>
        <w:rPr>
          <w:rFonts w:ascii="PT Astra Sans" w:hAnsi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ind w:left="0" w:right="0" w:firstLine="0"/>
        <w:jc w:val="both"/>
        <w:rPr>
          <w:rFonts w:ascii="PT Astra Serif" w:hAnsi="PT Astra Serif" w:cs="PT Astra Serif"/>
          <w:b/>
          <w:bCs/>
          <w:sz w:val="24"/>
          <w:szCs w:val="24"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Строение: недвижимость или нет?</w:t>
      </w: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Жители Иркутской области часто обращаются в Управление Росреестра по Иркутской области с вопросами об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 отнесении конкретного строения к недвижимости.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Это важно, ведь от этого зависит нужно ли ставить такое строение на кадастровый учет и регистрировать право на него в Едином государственном реестре недвижимости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Если право на такой объект не будет оф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ормлено, то его пользователь не станет собственником и не сможет совершать сделки: продавать, дарить, обменивать. Кроме того, такое здание нельзя будет передать по наследству. Защитить свои права в спорах (например, в суде) также будет крайне сложно.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Поэтому, очень важно четко понимать чем вы владеете – недвижимым или движимым имуществом.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</w:rPr>
        <w:t xml:space="preserve">В законе такие объекты недвижимости называются объектами капитального строительства. К объектам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капитального строительства относятся здания, строения, сооружения, объекты незавершенного строительства. 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  <w:t xml:space="preserve">Исключение составляют некапитальные строения, сооружения, а также так называемые неотделимые улучшения земельного участка, такие как замощение, покрытие и другие.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Это значит, что главное, что нужно выяснить – это степень капитальности вашего строения, то есть определить насколько прочно строение связано с землей, можно ли его сдвинуть с места так, чтобы не разрушить.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Так например можно отличить капитальный гараж на фундаменте от металлического гаража, который в любой момент может быть перемещен. Первый гараж будет недвижимостью, второй нет. Также к некапитальным строениям можно отнести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киоски, навесы и другие подобные объекты.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Как поясняет начальник отдела регистрации недвижимости № 4 Управления Росреестра по Иркутской области Юлия Валерьевна Яхненко,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признаки зданий и сооружений как недвижимого имущества указываются еще на стадии планирования строительства - в задании на выполнение инженерных изысканий, а также в проектной документации.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При этом специалист, который поможет установить является ли ваш конкретный объект недвижимостью – это кадастровый инженер.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</w:rPr>
        <w:t xml:space="preserve">По информации директора филиала КИРС СРО Ассоциации кадастровых инженеров «Содружество» Светланы Видутисовны Юревичуте, в силу закона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кадастровый инженер не только должен определить, относится ли здание к недвижимости, но и обязан отказаться от заключения договора подряда на выполнение кадастровы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х работ в случае, если объект не явл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яется объектом недвижимости. 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</w:rPr>
        <w:t xml:space="preserve">Кстати, выбрать кадастрового инженера вам поможет реестр кадастровых инженеров, размещенный на сайте Росреестра, а также Рейтинг кадастровых инженеров, который ежеквартально составляет Управление Росреестра по Иркутской области.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425"/>
        <w:jc w:val="both"/>
        <w:spacing w:before="0" w:after="0" w:line="276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Задать вопросы, связанные с кадастровым учетом объектов недвижимости, вы можете по бесплатному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37</cp:revision>
  <dcterms:created xsi:type="dcterms:W3CDTF">2024-02-13T03:39:00Z</dcterms:created>
  <dcterms:modified xsi:type="dcterms:W3CDTF">2025-11-19T06:23:47Z</dcterms:modified>
</cp:coreProperties>
</file>